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left"/>
        <w:outlineLvl w:val="0"/>
        <w:rPr>
          <w:rFonts w:hint="eastAsia" w:ascii="华文楷体" w:hAnsi="华文楷体" w:eastAsia="华文楷体"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华文楷体" w:hAnsi="华文楷体" w:eastAsia="华文楷体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华文楷体" w:hAnsi="华文楷体" w:eastAsia="华文楷体"/>
          <w:bCs/>
          <w:color w:val="000000" w:themeColor="text1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adjustRightInd w:val="0"/>
        <w:snapToGrid w:val="0"/>
        <w:spacing w:after="156" w:afterLines="50"/>
        <w:jc w:val="center"/>
        <w:rPr>
          <w:rFonts w:ascii="华文楷体" w:hAnsi="华文楷体" w:eastAsia="华文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土木工程学院</w:t>
      </w:r>
      <w:r>
        <w:rPr>
          <w:rFonts w:ascii="华文楷体" w:hAnsi="华文楷体" w:eastAsia="华文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“科技创新基金”奖励</w:t>
      </w:r>
      <w:r>
        <w:rPr>
          <w:rFonts w:hint="eastAsia" w:ascii="华文楷体" w:hAnsi="华文楷体" w:eastAsia="华文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</w:t>
      </w:r>
    </w:p>
    <w:p>
      <w:pPr>
        <w:pStyle w:val="2"/>
        <w:spacing w:after="156" w:afterLines="50"/>
        <w:ind w:firstLine="565" w:firstLineChars="202"/>
        <w:rPr>
          <w:rFonts w:ascii="华文楷体" w:hAnsi="华文楷体" w:eastAsia="华文楷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学生</w:t>
      </w:r>
      <w:r>
        <w:rPr>
          <w:rFonts w:ascii="华文楷体" w:hAnsi="华文楷体" w:eastAsia="华文楷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主要赛事奖励</w:t>
      </w:r>
      <w:r>
        <w:rPr>
          <w:rFonts w:hint="eastAsia" w:ascii="华文楷体" w:hAnsi="华文楷体" w:eastAsia="华文楷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参照下表标准</w:t>
      </w:r>
      <w:r>
        <w:rPr>
          <w:rFonts w:ascii="华文楷体" w:hAnsi="华文楷体" w:eastAsia="华文楷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楷体" w:hAnsi="华文楷体" w:eastAsia="华文楷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若组织或主办单位给予的奖励不低于下表标准，学院不再另行奖励；若组织或主办单位给予的奖励低于下表标准，由学生提出申请，学院补齐至下表标准。</w:t>
      </w:r>
      <w:r>
        <w:rPr>
          <w:rFonts w:ascii="华文楷体" w:hAnsi="华文楷体" w:eastAsia="华文楷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同规格赛事参照执行</w:t>
      </w:r>
      <w:r>
        <w:rPr>
          <w:rFonts w:hint="eastAsia" w:ascii="华文楷体" w:hAnsi="华文楷体" w:eastAsia="华文楷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。</w:t>
      </w:r>
    </w:p>
    <w:tbl>
      <w:tblPr>
        <w:tblStyle w:val="3"/>
        <w:tblW w:w="87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56"/>
        <w:gridCol w:w="1265"/>
        <w:gridCol w:w="1599"/>
        <w:gridCol w:w="1701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赛事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4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奖励金额（单位：元）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团体项目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集体项目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个人项目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由政府组织或主办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国赛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省赛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华文楷体" w:hAnsi="华文楷体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楷体" w:hAnsi="华文楷体" w:eastAsia="华文楷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楷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tabs>
          <w:tab w:val="left" w:pos="6817"/>
        </w:tabs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6817"/>
        </w:tabs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</w:p>
    <w:p>
      <w:pPr>
        <w:tabs>
          <w:tab w:val="left" w:pos="6817"/>
        </w:tabs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1、</w:t>
      </w:r>
      <w:r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赛事规格根据教育部等部门认可度划分；同一赛事同一小组获得多项奖励</w:t>
      </w: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不</w:t>
      </w:r>
      <w:r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叠加</w:t>
      </w: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，取其最高奖励</w:t>
      </w:r>
      <w:r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；不同赛事同一小组获得多项奖励可叠加；</w:t>
      </w: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优秀奖、入围奖等</w:t>
      </w:r>
      <w:r>
        <w:rPr>
          <w:rFonts w:hint="eastAsia" w:ascii="华文楷体" w:hAnsi="华文楷体" w:eastAsia="华文楷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不予</w:t>
      </w: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奖励</w:t>
      </w:r>
      <w:r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华文楷体" w:hAnsi="华文楷体" w:eastAsia="华文楷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全国性</w:t>
      </w: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行业协会</w:t>
      </w:r>
      <w:r>
        <w:rPr>
          <w:rFonts w:hint="eastAsia" w:ascii="华文楷体" w:hAnsi="华文楷体" w:eastAsia="华文楷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组织或主办的赛事，按本表省级标准的2</w:t>
      </w:r>
      <w:r>
        <w:rPr>
          <w:rFonts w:ascii="华文楷体" w:hAnsi="华文楷体" w:eastAsia="华文楷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/3</w:t>
      </w:r>
      <w:r>
        <w:rPr>
          <w:rFonts w:hint="eastAsia" w:ascii="华文楷体" w:hAnsi="华文楷体" w:eastAsia="华文楷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奖励；省级</w:t>
      </w:r>
      <w:r>
        <w:rPr>
          <w:rFonts w:hint="eastAsia" w:ascii="华文楷体" w:hAnsi="华文楷体" w:eastAsia="华文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行业协会</w:t>
      </w:r>
      <w:r>
        <w:rPr>
          <w:rFonts w:hint="eastAsia" w:ascii="华文楷体" w:hAnsi="华文楷体" w:eastAsia="华文楷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组织或主办的赛事，按本表省级标准的</w:t>
      </w:r>
      <w:r>
        <w:rPr>
          <w:rFonts w:ascii="华文楷体" w:hAnsi="华文楷体" w:eastAsia="华文楷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1/3</w:t>
      </w:r>
      <w:r>
        <w:rPr>
          <w:rFonts w:hint="eastAsia" w:ascii="华文楷体" w:hAnsi="华文楷体" w:eastAsia="华文楷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奖励；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75"/>
    <w:rsid w:val="00073951"/>
    <w:rsid w:val="000C1E3C"/>
    <w:rsid w:val="00156CA6"/>
    <w:rsid w:val="00172016"/>
    <w:rsid w:val="0021721D"/>
    <w:rsid w:val="00266D9A"/>
    <w:rsid w:val="002E2114"/>
    <w:rsid w:val="00506D6F"/>
    <w:rsid w:val="005336B3"/>
    <w:rsid w:val="005F3A57"/>
    <w:rsid w:val="006E5DA0"/>
    <w:rsid w:val="00745CEA"/>
    <w:rsid w:val="008E0A75"/>
    <w:rsid w:val="009A6AF3"/>
    <w:rsid w:val="00BC3DA7"/>
    <w:rsid w:val="00BF198F"/>
    <w:rsid w:val="00C00178"/>
    <w:rsid w:val="00CD301D"/>
    <w:rsid w:val="00D6120B"/>
    <w:rsid w:val="00D81B1C"/>
    <w:rsid w:val="00DB0A99"/>
    <w:rsid w:val="00DB4214"/>
    <w:rsid w:val="00F84F7E"/>
    <w:rsid w:val="0571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HTML 预设格式 字符"/>
    <w:basedOn w:val="4"/>
    <w:link w:val="2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Lines>3</Lines>
  <Paragraphs>1</Paragraphs>
  <TotalTime>206</TotalTime>
  <ScaleCrop>false</ScaleCrop>
  <LinksUpToDate>false</LinksUpToDate>
  <CharactersWithSpaces>474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2021-06-17T10:53:00Z</dcterms:created>
  <dc:creator>邵 宏利</dc:creator>
  <cp:lastModifiedBy>WPS_1623565004</cp:lastModifiedBy>
  <dcterms:modified xsi:type="dcterms:W3CDTF">2021-06-18T09:18:07Z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F2248FA403CA4CA48F37B37C855009F8</vt:lpwstr>
  </property>
</Properties>
</file>